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53" w:rsidRPr="00A04151" w:rsidRDefault="00014A53" w:rsidP="00A04151">
      <w:pPr>
        <w:shd w:val="clear" w:color="auto" w:fill="FFFFFF"/>
        <w:spacing w:before="810" w:after="390" w:line="240" w:lineRule="auto"/>
        <w:ind w:left="708" w:firstLine="708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pl-PL"/>
        </w:rPr>
      </w:pPr>
      <w:bookmarkStart w:id="0" w:name="_GoBack"/>
      <w:bookmarkEnd w:id="0"/>
      <w:r w:rsidRPr="00A04151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pl-PL"/>
        </w:rPr>
        <w:t>Równość szans w Unii Europejskiej</w:t>
      </w:r>
    </w:p>
    <w:p w:rsidR="00014A53" w:rsidRPr="00014A53" w:rsidRDefault="00014A53" w:rsidP="00014A53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UE ustanowiona została na podstawie szeregu wartości, do których zaliczają się zasada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niedyskryminacji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równości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oraz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poszanowania godności osoby ludzkiej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i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praw człowieka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 w tym praw osób należących do mniejszości (art. </w:t>
      </w:r>
      <w:hyperlink r:id="rId5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oraz art. </w:t>
      </w:r>
      <w:hyperlink r:id="rId6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3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ust. 3 Traktatu o Unii Europejskiej, TUE). UE dysponuje kompetencją w zakresie walki z wykluczeniem społecznym i dyskryminacją oraz działania na rzecz sprawiedliwości i ochrony społecznej, równości kobiet i mężczyzn, solidarności międzypokoleniowej i ochrony praw dzieci.</w:t>
      </w:r>
    </w:p>
    <w:p w:rsidR="00014A53" w:rsidRPr="00014A53" w:rsidRDefault="00014A53" w:rsidP="00014A53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Art. </w:t>
      </w:r>
      <w:hyperlink r:id="rId7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8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Traktatu o funkcjonowaniu Unii Europejskiej (TFUE) umocowuje UE do wprowadzania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środków mających eliminować zjawisko nierówności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oraz zobowiązuje ją do propagowania równości między mężczyznami i kobietami we wszystkich aspektach jej polityki.</w:t>
      </w:r>
    </w:p>
    <w:p w:rsidR="00014A53" w:rsidRPr="00014A53" w:rsidRDefault="00014A53" w:rsidP="00014A53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Art. </w:t>
      </w:r>
      <w:hyperlink r:id="rId8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153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TFUE wzmacnia działania UE w zakresie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równości szans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i </w:t>
      </w:r>
      <w:r w:rsidRPr="00014A53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równego traktowania</w:t>
      </w: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w sprawach zatrudnienia i aktywności zawodowej, a art. </w:t>
      </w:r>
      <w:hyperlink r:id="rId9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157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TFUE wskazuje, że za wykonywanie jednakowej pracy lub pracy o jednakowej wartości mężczyźni i kobiety powinni być jednakowo wynagradzani. Art. </w:t>
      </w:r>
      <w:hyperlink r:id="rId10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19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TFUE nadaje UE kompetencję w zakresie zwalczania dyskryminacji ze względu na płeć, rasę lub pochodzenie etniczne, religię lub światopogląd, niepełnosprawność, wiek lub orientację seksualną.</w:t>
      </w:r>
    </w:p>
    <w:p w:rsidR="00014A53" w:rsidRPr="00014A53" w:rsidRDefault="00014A53" w:rsidP="00014A53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UE przyjęła szereg dyrektyw wprowadzających w życie zasadę równego traktowania mężczyzn i kobiet oraz równego traktowania osób bez względu na pochodzenie rasowe lub etniczne, orientację seksualną, wiek i niepełnosprawność w różnych dziedzinach życia:</w:t>
      </w:r>
    </w:p>
    <w:p w:rsidR="00014A53" w:rsidRPr="00014A53" w:rsidRDefault="00014A53" w:rsidP="00014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dyrektywa </w:t>
      </w:r>
      <w:hyperlink r:id="rId11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79/7/EWG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w sprawie stopniowego wprowadzania w życie zasady równego traktowania kobiet i mężczyzn w dziedzinie zabezpieczenia społecznego;</w:t>
      </w:r>
    </w:p>
    <w:p w:rsidR="00014A53" w:rsidRPr="00014A53" w:rsidRDefault="00014A53" w:rsidP="00014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dyrektywa </w:t>
      </w:r>
      <w:hyperlink r:id="rId12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2000/43/WE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wprowadzająca w życie zasadę równego traktowania osób bez względu na pochodzenie rasowe lub etniczne;</w:t>
      </w:r>
    </w:p>
    <w:p w:rsidR="00014A53" w:rsidRPr="00014A53" w:rsidRDefault="00014A53" w:rsidP="00014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dyrektywa </w:t>
      </w:r>
      <w:hyperlink r:id="rId13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2000/78/WE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ustanawiająca ogólne warunki ramowe równego traktowania w zakresie zatrudnienia i pracy;</w:t>
      </w:r>
    </w:p>
    <w:p w:rsidR="00014A53" w:rsidRPr="00014A53" w:rsidRDefault="00014A53" w:rsidP="00014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dyrektywa </w:t>
      </w:r>
      <w:hyperlink r:id="rId14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2004/113/WE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wprowadzająca w życie zasadę równego traktowania mężczyzn i kobiet w zakresie dostępu do towarów i usług oraz dostarczania towarów i usług;</w:t>
      </w:r>
    </w:p>
    <w:p w:rsidR="00014A53" w:rsidRPr="00014A53" w:rsidRDefault="00014A53" w:rsidP="00014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dyrektywa </w:t>
      </w:r>
      <w:hyperlink r:id="rId15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2006/54/WE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w sprawie wprowadzenia w życie zasady równości szans oraz równego traktowania kobiet i mężczyzn w dziedzinie zatrudnienia i pracy;</w:t>
      </w:r>
    </w:p>
    <w:p w:rsidR="00014A53" w:rsidRPr="00014A53" w:rsidRDefault="00014A53" w:rsidP="00014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lastRenderedPageBreak/>
        <w:t>dyrektywa </w:t>
      </w:r>
      <w:hyperlink r:id="rId16" w:history="1">
        <w:r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2010/41/UE</w:t>
        </w:r>
      </w:hyperlink>
      <w:r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w sprawie stosowania zasady równego traktowania kobiet i mężczyzn prowadzących działalność na własny rachunek.</w:t>
      </w:r>
    </w:p>
    <w:p w:rsidR="00014A53" w:rsidRPr="00014A53" w:rsidRDefault="00A04151" w:rsidP="00014A53">
      <w:pPr>
        <w:shd w:val="clear" w:color="auto" w:fill="FFFFFF"/>
        <w:spacing w:before="195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17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Karta praw podstawowych Unii Europejskiej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 będąca załącznikiem do traktatu lizbońskiego, zawiera rozdział zatytułowany „Równość”. Ustanawia on zasady niedyskryminacji (art. </w:t>
      </w:r>
      <w:hyperlink r:id="rId18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21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), poszanowania różnorodności kulturowej, religijnej i językowej (art. </w:t>
      </w:r>
      <w:hyperlink r:id="rId19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22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), a także równości między mężczyznami i kobietami (art. </w:t>
      </w:r>
      <w:hyperlink r:id="rId20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23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). Dotyczy on również praw dzieci (art. </w:t>
      </w:r>
      <w:hyperlink r:id="rId21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24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), osób starszych (art. </w:t>
      </w:r>
      <w:hyperlink r:id="rId22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25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 oraz osób z niepełnosprawnością (art. </w:t>
      </w:r>
      <w:hyperlink r:id="rId23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26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).</w:t>
      </w:r>
    </w:p>
    <w:p w:rsidR="00014A53" w:rsidRPr="00014A53" w:rsidRDefault="00014A53" w:rsidP="00014A53">
      <w:pPr>
        <w:shd w:val="clear" w:color="auto" w:fill="FFFFFF"/>
        <w:spacing w:before="810" w:after="390"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pl-PL"/>
        </w:rPr>
      </w:pPr>
      <w:r w:rsidRPr="00014A53">
        <w:rPr>
          <w:rFonts w:ascii="Arial" w:eastAsia="Times New Roman" w:hAnsi="Arial" w:cs="Arial"/>
          <w:b/>
          <w:bCs/>
          <w:color w:val="444444"/>
          <w:sz w:val="27"/>
          <w:szCs w:val="27"/>
          <w:lang w:eastAsia="pl-PL"/>
        </w:rPr>
        <w:t>ZOBACZ TEŻ: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24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Karta praw podstawowych</w:t>
        </w:r>
      </w:hyperlink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25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Równość kobiet i mężczyzn</w:t>
        </w:r>
      </w:hyperlink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26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Prawa podstawowe</w:t>
        </w:r>
      </w:hyperlink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27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Zasada niedyskryminacji</w:t>
        </w:r>
      </w:hyperlink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28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Równe traktowanie w zakresie zatrudnienia i pracy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streszczenie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29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Równe traktowanie bez względu na pochodzenie rasowe i etniczne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streszczenie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30" w:history="1">
        <w:r w:rsidR="00014A53" w:rsidRPr="00014A53">
          <w:rPr>
            <w:rFonts w:ascii="Arial" w:eastAsia="Times New Roman" w:hAnsi="Arial" w:cs="Arial"/>
            <w:color w:val="23527C"/>
            <w:sz w:val="27"/>
            <w:szCs w:val="27"/>
            <w:u w:val="single"/>
            <w:lang w:eastAsia="pl-PL"/>
          </w:rPr>
          <w:t>Równość kobiet i mężczyzn na rynku pracy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streszczenie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31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Zasada równego traktowania mężczyzn i kobiet poza kontekstem rynku pracy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streszczenie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32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Działalność na własny rachunek – równe traktowanie kobiet i mężczyzn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streszczenie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33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Zabezpieczenie społeczne – równe traktowanie kobiet i mężczyzn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streszczenie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34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Równość, niedyskryminacja i rasizm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Agencja Praw Podstawowych Unii Europejskiej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</w:t>
      </w:r>
    </w:p>
    <w:p w:rsidR="00014A53" w:rsidRPr="00014A53" w:rsidRDefault="00A04151" w:rsidP="00014A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hyperlink r:id="rId35" w:history="1">
        <w:r w:rsidR="00014A53" w:rsidRPr="00014A53">
          <w:rPr>
            <w:rFonts w:ascii="Arial" w:eastAsia="Times New Roman" w:hAnsi="Arial" w:cs="Arial"/>
            <w:color w:val="337AB7"/>
            <w:sz w:val="27"/>
            <w:szCs w:val="27"/>
            <w:u w:val="single"/>
            <w:lang w:eastAsia="pl-PL"/>
          </w:rPr>
          <w:t>Sprawiedliwość i prawa podstawowe</w:t>
        </w:r>
      </w:hyperlink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(</w:t>
      </w:r>
      <w:r w:rsidR="00014A53" w:rsidRPr="00014A53">
        <w:rPr>
          <w:rFonts w:ascii="Arial" w:eastAsia="Times New Roman" w:hAnsi="Arial" w:cs="Arial"/>
          <w:i/>
          <w:iCs/>
          <w:color w:val="333333"/>
          <w:sz w:val="27"/>
          <w:szCs w:val="27"/>
          <w:lang w:eastAsia="pl-PL"/>
        </w:rPr>
        <w:t>Komisja Europejska</w:t>
      </w:r>
      <w:r w:rsidR="00014A53" w:rsidRPr="00014A53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).</w:t>
      </w:r>
    </w:p>
    <w:p w:rsidR="00767694" w:rsidRDefault="00EB4947">
      <w:r>
        <w:t xml:space="preserve">Źródło: </w:t>
      </w:r>
      <w:r w:rsidRPr="00EB4947">
        <w:t>https://eur-lex.europa.eu/legal-content/PL/TXT/?uri=LEGISSUM%3Aequal_opportunities</w:t>
      </w:r>
    </w:p>
    <w:sectPr w:rsidR="00767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5227"/>
    <w:multiLevelType w:val="multilevel"/>
    <w:tmpl w:val="E428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C4659"/>
    <w:multiLevelType w:val="multilevel"/>
    <w:tmpl w:val="1FD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53"/>
    <w:rsid w:val="00014A53"/>
    <w:rsid w:val="00767694"/>
    <w:rsid w:val="00A04151"/>
    <w:rsid w:val="00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E185"/>
  <w15:chartTrackingRefBased/>
  <w15:docId w15:val="{038513DD-C8D6-4D61-976B-B0A661C9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1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A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ormalny1">
    <w:name w:val="Normalny1"/>
    <w:basedOn w:val="Normalny"/>
    <w:rsid w:val="0001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014A53"/>
  </w:style>
  <w:style w:type="character" w:styleId="Hipercze">
    <w:name w:val="Hyperlink"/>
    <w:basedOn w:val="Domylnaczcionkaakapitu"/>
    <w:uiPriority w:val="99"/>
    <w:semiHidden/>
    <w:unhideWhenUsed/>
    <w:rsid w:val="00014A53"/>
    <w:rPr>
      <w:color w:val="0000FF"/>
      <w:u w:val="single"/>
    </w:rPr>
  </w:style>
  <w:style w:type="paragraph" w:customStyle="1" w:styleId="ti-section">
    <w:name w:val="ti-section"/>
    <w:basedOn w:val="Normalny"/>
    <w:rsid w:val="0001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01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-lex.europa.eu/legal-content/PL/TXT/?uri=celex:32000L0078" TargetMode="External"/><Relationship Id="rId18" Type="http://schemas.openxmlformats.org/officeDocument/2006/relationships/hyperlink" Target="https://eur-lex.europa.eu/legal-content/PL/AUTO/?uri=celex:12016P021" TargetMode="External"/><Relationship Id="rId26" Type="http://schemas.openxmlformats.org/officeDocument/2006/relationships/hyperlink" Target="http://eur-lex.europa.eu/summary/glossary/fundamental_rights.html" TargetMode="External"/><Relationship Id="rId21" Type="http://schemas.openxmlformats.org/officeDocument/2006/relationships/hyperlink" Target="https://eur-lex.europa.eu/legal-content/PL/AUTO/?uri=celex:12016P024" TargetMode="External"/><Relationship Id="rId34" Type="http://schemas.openxmlformats.org/officeDocument/2006/relationships/hyperlink" Target="http://fra.europa.eu/en/themes/equality-non-discrimination-and-racism" TargetMode="External"/><Relationship Id="rId7" Type="http://schemas.openxmlformats.org/officeDocument/2006/relationships/hyperlink" Target="https://eur-lex.europa.eu/legal-content/PL/AUTO/?uri=celex:12016E008" TargetMode="External"/><Relationship Id="rId12" Type="http://schemas.openxmlformats.org/officeDocument/2006/relationships/hyperlink" Target="http://eur-lex.europa.eu/legal-content/PL/TXT/?uri=celex:32000L0043" TargetMode="External"/><Relationship Id="rId17" Type="http://schemas.openxmlformats.org/officeDocument/2006/relationships/hyperlink" Target="http://eur-lex.europa.eu/legal-content/PL/TXT/?uri=celex:12016P/TXT" TargetMode="External"/><Relationship Id="rId25" Type="http://schemas.openxmlformats.org/officeDocument/2006/relationships/hyperlink" Target="http://eur-lex.europa.eu/summary/glossary/equal_treatment.html" TargetMode="External"/><Relationship Id="rId33" Type="http://schemas.openxmlformats.org/officeDocument/2006/relationships/hyperlink" Target="http://eur-lex.europa.eu/legal-content/PL/TXT/?uri=LEGISSUM:c10907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PL/TXT/?uri=celex:32010L0041" TargetMode="External"/><Relationship Id="rId20" Type="http://schemas.openxmlformats.org/officeDocument/2006/relationships/hyperlink" Target="https://eur-lex.europa.eu/legal-content/PL/AUTO/?uri=celex:12016P023" TargetMode="External"/><Relationship Id="rId29" Type="http://schemas.openxmlformats.org/officeDocument/2006/relationships/hyperlink" Target="http://eur-lex.europa.eu/legal-content/PL/TXT/?uri=LEGISSUM:l331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PL/AUTO/?uri=celex:12016M003" TargetMode="External"/><Relationship Id="rId11" Type="http://schemas.openxmlformats.org/officeDocument/2006/relationships/hyperlink" Target="http://eur-lex.europa.eu/legal-content/PL/TXT/?uri=celex:31979L0007" TargetMode="External"/><Relationship Id="rId24" Type="http://schemas.openxmlformats.org/officeDocument/2006/relationships/hyperlink" Target="http://eur-lex.europa.eu/summary/glossary/charter_fundamental_rights.html" TargetMode="External"/><Relationship Id="rId32" Type="http://schemas.openxmlformats.org/officeDocument/2006/relationships/hyperlink" Target="http://eur-lex.europa.eu/legal-content/PL/TXT/?uri=LEGISSUM:em003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ur-lex.europa.eu/legal-content/PL/AUTO/?uri=celex:12016M002" TargetMode="External"/><Relationship Id="rId15" Type="http://schemas.openxmlformats.org/officeDocument/2006/relationships/hyperlink" Target="http://eur-lex.europa.eu/legal-content/PL/TXT/?uri=celex:32006L0054" TargetMode="External"/><Relationship Id="rId23" Type="http://schemas.openxmlformats.org/officeDocument/2006/relationships/hyperlink" Target="https://eur-lex.europa.eu/legal-content/PL/AUTO/?uri=celex:12016P026" TargetMode="External"/><Relationship Id="rId28" Type="http://schemas.openxmlformats.org/officeDocument/2006/relationships/hyperlink" Target="http://eur-lex.europa.eu/legal-content/PL/TXT/?uri=LEGISSUM:c108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ur-lex.europa.eu/legal-content/PL/AUTO/?uri=celex:12016E019" TargetMode="External"/><Relationship Id="rId19" Type="http://schemas.openxmlformats.org/officeDocument/2006/relationships/hyperlink" Target="https://eur-lex.europa.eu/legal-content/PL/AUTO/?uri=celex:12016P022" TargetMode="External"/><Relationship Id="rId31" Type="http://schemas.openxmlformats.org/officeDocument/2006/relationships/hyperlink" Target="http://eur-lex.europa.eu/legal-content/PL/TXT/?uri=LEGISSUM:c10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AUTO/?uri=celex:12016E157" TargetMode="External"/><Relationship Id="rId14" Type="http://schemas.openxmlformats.org/officeDocument/2006/relationships/hyperlink" Target="http://eur-lex.europa.eu/legal-content/PL/TXT/?uri=celex:32004L0113" TargetMode="External"/><Relationship Id="rId22" Type="http://schemas.openxmlformats.org/officeDocument/2006/relationships/hyperlink" Target="https://eur-lex.europa.eu/legal-content/PL/AUTO/?uri=celex:12016P025" TargetMode="External"/><Relationship Id="rId27" Type="http://schemas.openxmlformats.org/officeDocument/2006/relationships/hyperlink" Target="http://eur-lex.europa.eu/summary/glossary/nondiscrimination_principle.html" TargetMode="External"/><Relationship Id="rId30" Type="http://schemas.openxmlformats.org/officeDocument/2006/relationships/hyperlink" Target="http://eur-lex.europa.eu/legal-content/PL/TXT/?uri=LEGISSUM:c10940" TargetMode="External"/><Relationship Id="rId35" Type="http://schemas.openxmlformats.org/officeDocument/2006/relationships/hyperlink" Target="http://ec.europa.eu/info/policies/justice-and-fundamental-rights_pl" TargetMode="External"/><Relationship Id="rId8" Type="http://schemas.openxmlformats.org/officeDocument/2006/relationships/hyperlink" Target="https://eur-lex.europa.eu/legal-content/PL/AUTO/?uri=celex:12016E15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Górna</dc:creator>
  <cp:keywords/>
  <dc:description/>
  <cp:lastModifiedBy>Joanna Górna</cp:lastModifiedBy>
  <cp:revision>4</cp:revision>
  <dcterms:created xsi:type="dcterms:W3CDTF">2023-12-08T08:57:00Z</dcterms:created>
  <dcterms:modified xsi:type="dcterms:W3CDTF">2023-12-08T09:08:00Z</dcterms:modified>
</cp:coreProperties>
</file>